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E6" w:rsidRPr="002F61A0" w:rsidRDefault="00F46FE6" w:rsidP="00F46FE6">
      <w:pPr>
        <w:jc w:val="right"/>
        <w:rPr>
          <w:sz w:val="24"/>
          <w:szCs w:val="24"/>
          <w:lang w:val="mn-MN"/>
        </w:rPr>
      </w:pPr>
      <w:r w:rsidRPr="002F61A0">
        <w:rPr>
          <w:sz w:val="24"/>
          <w:szCs w:val="24"/>
          <w:lang w:val="mn-MN"/>
        </w:rPr>
        <w:t xml:space="preserve">Сургуулийн </w:t>
      </w:r>
      <w:r w:rsidR="00D35855" w:rsidRPr="002F61A0">
        <w:rPr>
          <w:sz w:val="24"/>
          <w:szCs w:val="24"/>
          <w:lang w:val="mn-MN"/>
        </w:rPr>
        <w:t>захирлын</w:t>
      </w:r>
      <w:r w:rsidR="00D35855" w:rsidRPr="002F61A0">
        <w:rPr>
          <w:sz w:val="24"/>
          <w:szCs w:val="24"/>
        </w:rPr>
        <w:t xml:space="preserve"> </w:t>
      </w:r>
      <w:r w:rsidRPr="002F61A0">
        <w:rPr>
          <w:sz w:val="24"/>
          <w:szCs w:val="24"/>
          <w:lang w:val="mn-MN"/>
        </w:rPr>
        <w:t xml:space="preserve">зөвлөлийн 20 ... оны ... дугаар </w:t>
      </w:r>
    </w:p>
    <w:p w:rsidR="00F46FE6" w:rsidRPr="002F61A0" w:rsidRDefault="00F46FE6" w:rsidP="00F46FE6">
      <w:pPr>
        <w:jc w:val="right"/>
        <w:rPr>
          <w:sz w:val="24"/>
          <w:szCs w:val="24"/>
          <w:lang w:val="mn-MN"/>
        </w:rPr>
      </w:pPr>
      <w:r w:rsidRPr="002F61A0">
        <w:rPr>
          <w:sz w:val="24"/>
          <w:szCs w:val="24"/>
          <w:lang w:val="mn-MN"/>
        </w:rPr>
        <w:t>сарын ...-ны өдрийн хурлаар хэлэлцэж шинэчлэн батлав</w:t>
      </w:r>
    </w:p>
    <w:p w:rsidR="00F00644" w:rsidRPr="002F61A0" w:rsidRDefault="00F00644" w:rsidP="00F00644">
      <w:pPr>
        <w:jc w:val="center"/>
        <w:rPr>
          <w:b/>
          <w:sz w:val="24"/>
          <w:szCs w:val="24"/>
          <w:lang w:val="mn-MN"/>
        </w:rPr>
      </w:pPr>
    </w:p>
    <w:p w:rsidR="00F00644" w:rsidRPr="002F61A0" w:rsidRDefault="00F00644" w:rsidP="00F00644">
      <w:pPr>
        <w:jc w:val="center"/>
        <w:rPr>
          <w:b/>
          <w:sz w:val="24"/>
          <w:szCs w:val="24"/>
          <w:lang w:val="mn-MN"/>
        </w:rPr>
      </w:pPr>
      <w:r w:rsidRPr="002F61A0">
        <w:rPr>
          <w:b/>
          <w:sz w:val="24"/>
          <w:szCs w:val="24"/>
          <w:lang w:val="mn-MN"/>
        </w:rPr>
        <w:t>ДАРХАН</w:t>
      </w:r>
      <w:r w:rsidRPr="002F61A0">
        <w:rPr>
          <w:b/>
          <w:sz w:val="24"/>
          <w:szCs w:val="24"/>
        </w:rPr>
        <w:t>-</w:t>
      </w:r>
      <w:r w:rsidRPr="002F61A0">
        <w:rPr>
          <w:b/>
          <w:sz w:val="24"/>
          <w:szCs w:val="24"/>
          <w:lang w:val="mn-MN"/>
        </w:rPr>
        <w:t xml:space="preserve">УУЛ АЙМАГ ДАХЬ УУЛ УУРХАЙ ЭРЧИМ ХҮЧНИЙ </w:t>
      </w:r>
    </w:p>
    <w:p w:rsidR="00FE4678" w:rsidRPr="002F61A0" w:rsidRDefault="00F00644" w:rsidP="00FE4678">
      <w:pPr>
        <w:jc w:val="center"/>
        <w:rPr>
          <w:b/>
          <w:sz w:val="24"/>
          <w:szCs w:val="24"/>
          <w:lang w:val="mn-MN"/>
        </w:rPr>
      </w:pPr>
      <w:r w:rsidRPr="002F61A0">
        <w:rPr>
          <w:b/>
          <w:sz w:val="24"/>
          <w:szCs w:val="24"/>
          <w:lang w:val="mn-MN"/>
        </w:rPr>
        <w:t>ПОЛИТЕХНИК КОЛЛЕЖИЙН</w:t>
      </w:r>
      <w:r w:rsidR="00FE4678" w:rsidRPr="002F61A0">
        <w:rPr>
          <w:b/>
          <w:sz w:val="24"/>
          <w:szCs w:val="24"/>
          <w:lang w:val="mn-MN"/>
        </w:rPr>
        <w:t xml:space="preserve"> </w:t>
      </w:r>
      <w:r w:rsidR="00FE4678" w:rsidRPr="002F61A0">
        <w:rPr>
          <w:b/>
          <w:sz w:val="24"/>
          <w:szCs w:val="24"/>
        </w:rPr>
        <w:t xml:space="preserve">ТӨГСӨГЧДИЙН МЭРГЭЖЛИЙН </w:t>
      </w:r>
    </w:p>
    <w:p w:rsidR="00FE4678" w:rsidRPr="002F61A0" w:rsidRDefault="00FE4678" w:rsidP="00FE4678">
      <w:pPr>
        <w:jc w:val="center"/>
        <w:rPr>
          <w:sz w:val="24"/>
          <w:szCs w:val="24"/>
        </w:rPr>
      </w:pPr>
      <w:r w:rsidRPr="002F61A0">
        <w:rPr>
          <w:b/>
          <w:sz w:val="24"/>
          <w:szCs w:val="24"/>
        </w:rPr>
        <w:t>ШАЛГАЛТ ЗОХИОН БАЙГУУЛАХ ЖУРАМ</w:t>
      </w:r>
    </w:p>
    <w:p w:rsidR="00FE4678" w:rsidRPr="002F61A0" w:rsidRDefault="00FE4678" w:rsidP="00FE4678">
      <w:pPr>
        <w:pStyle w:val="BodyText3"/>
        <w:rPr>
          <w:rFonts w:ascii="Arial" w:hAnsi="Arial" w:cs="Arial"/>
          <w:szCs w:val="24"/>
        </w:rPr>
      </w:pPr>
    </w:p>
    <w:p w:rsidR="00FE4678" w:rsidRPr="002F61A0" w:rsidRDefault="009B03FF" w:rsidP="0065448D">
      <w:pPr>
        <w:ind w:firstLine="720"/>
        <w:jc w:val="both"/>
        <w:rPr>
          <w:b/>
          <w:sz w:val="24"/>
          <w:szCs w:val="24"/>
          <w:lang w:val="mn-MN"/>
        </w:rPr>
      </w:pPr>
      <w:r w:rsidRPr="002F61A0">
        <w:rPr>
          <w:b/>
          <w:sz w:val="24"/>
          <w:szCs w:val="24"/>
          <w:lang w:val="mn-MN"/>
        </w:rPr>
        <w:t xml:space="preserve">Нэг. </w:t>
      </w:r>
      <w:r w:rsidR="00FE4678" w:rsidRPr="002F61A0">
        <w:rPr>
          <w:b/>
          <w:sz w:val="24"/>
          <w:szCs w:val="24"/>
        </w:rPr>
        <w:t xml:space="preserve">Нийтлэг үндэслэл </w:t>
      </w:r>
    </w:p>
    <w:p w:rsidR="0065448D" w:rsidRPr="002F61A0" w:rsidRDefault="0065448D" w:rsidP="0065448D">
      <w:pPr>
        <w:ind w:firstLine="720"/>
        <w:jc w:val="both"/>
        <w:rPr>
          <w:b/>
          <w:sz w:val="24"/>
          <w:szCs w:val="24"/>
          <w:lang w:val="mn-MN"/>
        </w:rPr>
      </w:pPr>
    </w:p>
    <w:p w:rsidR="00FE4678" w:rsidRPr="002F61A0" w:rsidRDefault="009B03FF" w:rsidP="0065448D">
      <w:pPr>
        <w:ind w:firstLine="720"/>
        <w:jc w:val="both"/>
        <w:rPr>
          <w:sz w:val="24"/>
          <w:szCs w:val="24"/>
        </w:rPr>
      </w:pPr>
      <w:r w:rsidRPr="002F61A0">
        <w:rPr>
          <w:sz w:val="24"/>
          <w:szCs w:val="24"/>
          <w:lang w:val="mn-MN"/>
        </w:rPr>
        <w:t>1.1.</w:t>
      </w:r>
      <w:r w:rsidR="00FE4678" w:rsidRPr="002F61A0">
        <w:rPr>
          <w:sz w:val="24"/>
          <w:szCs w:val="24"/>
        </w:rPr>
        <w:t>БСШУЯ</w:t>
      </w:r>
      <w:r w:rsidRPr="002F61A0">
        <w:rPr>
          <w:sz w:val="24"/>
          <w:szCs w:val="24"/>
          <w:lang w:val="mn-MN"/>
        </w:rPr>
        <w:t>-</w:t>
      </w:r>
      <w:r w:rsidR="00FE4678" w:rsidRPr="002F61A0">
        <w:rPr>
          <w:sz w:val="24"/>
          <w:szCs w:val="24"/>
        </w:rPr>
        <w:t xml:space="preserve">ны  Сайдын 2001 оны 157-р тушаалаар батлагдсан “Техникийн болон мэргэжлийн сургууль төгсөгчдийн мэргэжлийн шалгалтыг зохион байгуулах үлгэрчилсэн журам”-ыг үндэслэн боловсруулсан энэхүү журмыг </w:t>
      </w:r>
      <w:r w:rsidR="00FE4678" w:rsidRPr="002F61A0">
        <w:rPr>
          <w:sz w:val="24"/>
          <w:szCs w:val="24"/>
          <w:lang w:val="mn-MN"/>
        </w:rPr>
        <w:t xml:space="preserve">Дархан-Уул аймаг </w:t>
      </w:r>
      <w:r w:rsidR="00FE4678" w:rsidRPr="002F61A0">
        <w:rPr>
          <w:sz w:val="24"/>
          <w:szCs w:val="24"/>
        </w:rPr>
        <w:t>д</w:t>
      </w:r>
      <w:r w:rsidR="00FE4678" w:rsidRPr="002F61A0">
        <w:rPr>
          <w:sz w:val="24"/>
          <w:szCs w:val="24"/>
          <w:lang w:val="mn-MN"/>
        </w:rPr>
        <w:t>а</w:t>
      </w:r>
      <w:r w:rsidR="00FE4678" w:rsidRPr="002F61A0">
        <w:rPr>
          <w:sz w:val="24"/>
          <w:szCs w:val="24"/>
        </w:rPr>
        <w:t>х</w:t>
      </w:r>
      <w:r w:rsidR="00FE4678" w:rsidRPr="002F61A0">
        <w:rPr>
          <w:sz w:val="24"/>
          <w:szCs w:val="24"/>
          <w:lang w:val="mn-MN"/>
        </w:rPr>
        <w:t>ь</w:t>
      </w:r>
      <w:r w:rsidR="00FE4678" w:rsidRPr="002F61A0">
        <w:rPr>
          <w:sz w:val="24"/>
          <w:szCs w:val="24"/>
        </w:rPr>
        <w:t xml:space="preserve"> </w:t>
      </w:r>
      <w:r w:rsidR="00FE4678" w:rsidRPr="002F61A0">
        <w:rPr>
          <w:sz w:val="24"/>
          <w:szCs w:val="24"/>
          <w:lang w:val="mn-MN"/>
        </w:rPr>
        <w:t>Политехник коллеж</w:t>
      </w:r>
      <w:r w:rsidR="00FE4678" w:rsidRPr="002F61A0">
        <w:rPr>
          <w:sz w:val="24"/>
          <w:szCs w:val="24"/>
        </w:rPr>
        <w:t>ийн суралцагчдын мэргэжлийн зэрэг олгох шалгалтыг зохион байгуулна.</w:t>
      </w:r>
    </w:p>
    <w:p w:rsidR="00FE4678" w:rsidRPr="002F61A0" w:rsidRDefault="009B03FF" w:rsidP="0065448D">
      <w:pPr>
        <w:ind w:firstLine="720"/>
        <w:jc w:val="both"/>
        <w:rPr>
          <w:sz w:val="24"/>
          <w:szCs w:val="24"/>
        </w:rPr>
      </w:pPr>
      <w:r w:rsidRPr="002F61A0">
        <w:rPr>
          <w:sz w:val="24"/>
          <w:szCs w:val="24"/>
          <w:lang w:val="mn-MN"/>
        </w:rPr>
        <w:t>1.2.</w:t>
      </w:r>
      <w:r w:rsidR="00FE4678" w:rsidRPr="002F61A0">
        <w:rPr>
          <w:sz w:val="24"/>
          <w:szCs w:val="24"/>
          <w:lang w:val="mn-MN"/>
        </w:rPr>
        <w:t>ПТК</w:t>
      </w:r>
      <w:r w:rsidR="00FE4678" w:rsidRPr="002F61A0">
        <w:rPr>
          <w:sz w:val="24"/>
          <w:szCs w:val="24"/>
        </w:rPr>
        <w:t>-ийн төгсөгчдийн мэргэжлийн хичээлийн төгсөлтийн шалгалт /цаашид төгсөлтийн шалгалт гэнэ/-ын зорилго нь төгсөгчдийн эзэмшиж байгаа мэргэжил чадварын түвшин нь мэргэжлийн боловсролын стандартын шаардлагад нийцэж байгаа эсэхийг тогтоож, түүнд тохирсон үнэлгээ өгч, мэргэжлийн зэрэ</w:t>
      </w:r>
      <w:bookmarkStart w:id="0" w:name="_GoBack"/>
      <w:bookmarkEnd w:id="0"/>
      <w:r w:rsidR="00FE4678" w:rsidRPr="002F61A0">
        <w:rPr>
          <w:sz w:val="24"/>
          <w:szCs w:val="24"/>
        </w:rPr>
        <w:t>г олгож баталгаажуулахад оршино.</w:t>
      </w:r>
    </w:p>
    <w:p w:rsidR="00FE4678" w:rsidRPr="002F61A0" w:rsidRDefault="009B03FF" w:rsidP="0065448D">
      <w:pPr>
        <w:ind w:firstLine="720"/>
        <w:jc w:val="both"/>
        <w:rPr>
          <w:sz w:val="24"/>
          <w:szCs w:val="24"/>
        </w:rPr>
      </w:pPr>
      <w:r w:rsidRPr="002F61A0">
        <w:rPr>
          <w:sz w:val="24"/>
          <w:szCs w:val="24"/>
          <w:lang w:val="mn-MN"/>
        </w:rPr>
        <w:t>1.3.</w:t>
      </w:r>
      <w:r w:rsidR="00FE4678" w:rsidRPr="002F61A0">
        <w:rPr>
          <w:sz w:val="24"/>
          <w:szCs w:val="24"/>
        </w:rPr>
        <w:t>Сургууль төгсөгчид эзэмшиж байгаа мэргэжлээрээ төгсөлтийн шалгалт заавал өгнө.</w:t>
      </w:r>
    </w:p>
    <w:p w:rsidR="00FE4678" w:rsidRPr="002F61A0" w:rsidRDefault="009B03FF" w:rsidP="0065448D">
      <w:pPr>
        <w:ind w:firstLine="720"/>
        <w:jc w:val="both"/>
        <w:rPr>
          <w:sz w:val="24"/>
          <w:szCs w:val="24"/>
        </w:rPr>
      </w:pPr>
      <w:r w:rsidRPr="002F61A0">
        <w:rPr>
          <w:sz w:val="24"/>
          <w:szCs w:val="24"/>
          <w:lang w:val="mn-MN"/>
        </w:rPr>
        <w:t>1.4.</w:t>
      </w:r>
      <w:r w:rsidR="00FE4678" w:rsidRPr="002F61A0">
        <w:rPr>
          <w:sz w:val="24"/>
          <w:szCs w:val="24"/>
        </w:rPr>
        <w:t>Техникийн болон мэргэжлийн сургуулийг дүүргэс</w:t>
      </w:r>
      <w:r w:rsidR="00FE4678" w:rsidRPr="002F61A0">
        <w:rPr>
          <w:sz w:val="24"/>
          <w:szCs w:val="24"/>
          <w:lang w:val="mn-MN"/>
        </w:rPr>
        <w:t>э</w:t>
      </w:r>
      <w:r w:rsidR="00FE4678" w:rsidRPr="002F61A0">
        <w:rPr>
          <w:sz w:val="24"/>
          <w:szCs w:val="24"/>
        </w:rPr>
        <w:t>н боловч мэргэжлийн үнэмлэх аваагүй, эсвэл бие да</w:t>
      </w:r>
      <w:r w:rsidR="00FE4678" w:rsidRPr="002F61A0">
        <w:rPr>
          <w:sz w:val="24"/>
          <w:szCs w:val="24"/>
          <w:lang w:val="mn-MN"/>
        </w:rPr>
        <w:t>а</w:t>
      </w:r>
      <w:r w:rsidR="00FE4678" w:rsidRPr="002F61A0">
        <w:rPr>
          <w:sz w:val="24"/>
          <w:szCs w:val="24"/>
        </w:rPr>
        <w:t>н суралцаж мэргэжил эзэмшсэн иргэд төгсөлтийн шалгалт өгч мэргэжлийн зэрэг авч болно. Харин зохих төлбөрийг төлсөн байна.</w:t>
      </w:r>
    </w:p>
    <w:p w:rsidR="00FE4678" w:rsidRPr="002F61A0" w:rsidRDefault="009B03FF" w:rsidP="0065448D">
      <w:pPr>
        <w:ind w:firstLine="720"/>
        <w:jc w:val="both"/>
        <w:rPr>
          <w:sz w:val="24"/>
          <w:szCs w:val="24"/>
          <w:lang w:val="mn-MN"/>
        </w:rPr>
      </w:pPr>
      <w:r w:rsidRPr="002F61A0">
        <w:rPr>
          <w:sz w:val="24"/>
          <w:szCs w:val="24"/>
          <w:lang w:val="mn-MN"/>
        </w:rPr>
        <w:t>1.5.</w:t>
      </w:r>
      <w:r w:rsidR="00FE4678" w:rsidRPr="002F61A0">
        <w:rPr>
          <w:sz w:val="24"/>
          <w:szCs w:val="24"/>
        </w:rPr>
        <w:t>Төгсөлтийн шалгалтыг сургуулийн захирлын тушаалаар томилогдсон мэргэжлийн шалгалтын комисс болон мэргэжлийн хичээл бүрээр байгуулсан төгсөлтийн шалгалтын комисс авна.</w:t>
      </w:r>
    </w:p>
    <w:p w:rsidR="0065448D" w:rsidRPr="002F61A0" w:rsidRDefault="0065448D" w:rsidP="0065448D">
      <w:pPr>
        <w:ind w:firstLine="720"/>
        <w:jc w:val="both"/>
        <w:rPr>
          <w:sz w:val="24"/>
          <w:szCs w:val="24"/>
          <w:lang w:val="mn-MN"/>
        </w:rPr>
      </w:pPr>
    </w:p>
    <w:p w:rsidR="00FE4678" w:rsidRPr="002F61A0" w:rsidRDefault="009B03FF" w:rsidP="0065448D">
      <w:pPr>
        <w:ind w:firstLine="720"/>
        <w:jc w:val="both"/>
        <w:rPr>
          <w:b/>
          <w:sz w:val="24"/>
          <w:szCs w:val="24"/>
          <w:lang w:val="mn-MN"/>
        </w:rPr>
      </w:pPr>
      <w:r w:rsidRPr="002F61A0">
        <w:rPr>
          <w:b/>
          <w:sz w:val="24"/>
          <w:szCs w:val="24"/>
          <w:lang w:val="mn-MN"/>
        </w:rPr>
        <w:t xml:space="preserve">Хоёр. </w:t>
      </w:r>
      <w:r w:rsidR="00FE4678" w:rsidRPr="002F61A0">
        <w:rPr>
          <w:b/>
          <w:sz w:val="24"/>
          <w:szCs w:val="24"/>
        </w:rPr>
        <w:t>Төгсөгчдөд тавих шаардлага</w:t>
      </w:r>
    </w:p>
    <w:p w:rsidR="0065448D" w:rsidRPr="002F61A0" w:rsidRDefault="0065448D" w:rsidP="0065448D">
      <w:pPr>
        <w:ind w:firstLine="720"/>
        <w:jc w:val="both"/>
        <w:rPr>
          <w:b/>
          <w:sz w:val="24"/>
          <w:szCs w:val="24"/>
          <w:lang w:val="mn-MN"/>
        </w:rPr>
      </w:pPr>
    </w:p>
    <w:p w:rsidR="00FE4678" w:rsidRPr="002F61A0" w:rsidRDefault="009B03FF" w:rsidP="0065448D">
      <w:pPr>
        <w:ind w:firstLine="720"/>
        <w:jc w:val="both"/>
        <w:rPr>
          <w:sz w:val="24"/>
          <w:szCs w:val="24"/>
        </w:rPr>
      </w:pPr>
      <w:r w:rsidRPr="002F61A0">
        <w:rPr>
          <w:sz w:val="24"/>
          <w:szCs w:val="24"/>
          <w:lang w:val="mn-MN"/>
        </w:rPr>
        <w:t>2.1.</w:t>
      </w:r>
      <w:r w:rsidR="00FE4678" w:rsidRPr="002F61A0">
        <w:rPr>
          <w:sz w:val="24"/>
          <w:szCs w:val="24"/>
        </w:rPr>
        <w:t>Мэргэжлийн ерөнхий дадлага болон төгсөлтийн өмнөх дадлагын үнэлгээ “C”-ээс доошгүй байх</w:t>
      </w:r>
    </w:p>
    <w:p w:rsidR="00FE4678" w:rsidRPr="002F61A0" w:rsidRDefault="009B03FF" w:rsidP="0065448D">
      <w:pPr>
        <w:ind w:firstLine="720"/>
        <w:jc w:val="both"/>
        <w:rPr>
          <w:sz w:val="24"/>
          <w:szCs w:val="24"/>
        </w:rPr>
      </w:pPr>
      <w:r w:rsidRPr="002F61A0">
        <w:rPr>
          <w:sz w:val="24"/>
          <w:szCs w:val="24"/>
          <w:lang w:val="mn-MN"/>
        </w:rPr>
        <w:t>2.2.</w:t>
      </w:r>
      <w:r w:rsidR="00FE4678" w:rsidRPr="002F61A0">
        <w:rPr>
          <w:sz w:val="24"/>
          <w:szCs w:val="24"/>
        </w:rPr>
        <w:t>Тухайн түвшний сургалтын агуулгын хөтөлбөрийг бүрэн дуусгасан, сургалтын төлөвлөгөөний дагуу өмнө нь өгвөл зохих бүх шалгалт, шүүлгийг өгсөн, сорилын ажлыг шаардлагын дагуу гүйцэтгэсэн суралцагчийг төгсөлтийн шалгалтанд оруулна.</w:t>
      </w:r>
    </w:p>
    <w:p w:rsidR="00FE4678" w:rsidRPr="002F61A0" w:rsidRDefault="009B03FF" w:rsidP="0065448D">
      <w:pPr>
        <w:ind w:firstLine="720"/>
        <w:jc w:val="both"/>
        <w:rPr>
          <w:sz w:val="24"/>
          <w:szCs w:val="24"/>
        </w:rPr>
      </w:pPr>
      <w:r w:rsidRPr="002F61A0">
        <w:rPr>
          <w:sz w:val="24"/>
          <w:szCs w:val="24"/>
          <w:lang w:val="mn-MN"/>
        </w:rPr>
        <w:t>2.3.</w:t>
      </w:r>
      <w:r w:rsidR="00FE4678" w:rsidRPr="002F61A0">
        <w:rPr>
          <w:sz w:val="24"/>
          <w:szCs w:val="24"/>
        </w:rPr>
        <w:t xml:space="preserve">Төгсөлтийн шалгалт авахаас 2 сарын өмнө  сургалтын </w:t>
      </w:r>
      <w:r w:rsidR="00FE4678" w:rsidRPr="002F61A0">
        <w:rPr>
          <w:sz w:val="24"/>
          <w:szCs w:val="24"/>
          <w:lang w:val="mn-MN"/>
        </w:rPr>
        <w:t>алба</w:t>
      </w:r>
      <w:r w:rsidR="00FE4678" w:rsidRPr="002F61A0">
        <w:rPr>
          <w:sz w:val="24"/>
          <w:szCs w:val="24"/>
        </w:rPr>
        <w:t xml:space="preserve"> шалгалтанд орох суралцагчдын нэрсийг гаргана.</w:t>
      </w:r>
    </w:p>
    <w:p w:rsidR="00FE4678" w:rsidRPr="002F61A0" w:rsidRDefault="009B03FF" w:rsidP="0065448D">
      <w:pPr>
        <w:ind w:firstLine="720"/>
        <w:jc w:val="both"/>
        <w:rPr>
          <w:sz w:val="24"/>
          <w:szCs w:val="24"/>
          <w:lang w:val="mn-MN"/>
        </w:rPr>
      </w:pPr>
      <w:r w:rsidRPr="002F61A0">
        <w:rPr>
          <w:sz w:val="24"/>
          <w:szCs w:val="24"/>
          <w:lang w:val="mn-MN"/>
        </w:rPr>
        <w:t>2.4.</w:t>
      </w:r>
      <w:r w:rsidR="00FE4678" w:rsidRPr="002F61A0">
        <w:rPr>
          <w:sz w:val="24"/>
          <w:szCs w:val="24"/>
        </w:rPr>
        <w:t xml:space="preserve">Мэргэжлийн  зэрэг авах иргэд мэргэжлийн зэргийн шалгалтанд орох хүсэлтээ 4-өөс доошгүй сарын өмнө </w:t>
      </w:r>
      <w:r w:rsidR="00FE4678" w:rsidRPr="002F61A0">
        <w:rPr>
          <w:sz w:val="24"/>
          <w:szCs w:val="24"/>
          <w:lang w:val="mn-MN"/>
        </w:rPr>
        <w:t>ПТК</w:t>
      </w:r>
      <w:r w:rsidR="00FE4678" w:rsidRPr="002F61A0">
        <w:rPr>
          <w:sz w:val="24"/>
          <w:szCs w:val="24"/>
        </w:rPr>
        <w:t xml:space="preserve">-д бичгээр ирүүлэх бөгөөд </w:t>
      </w:r>
      <w:r w:rsidR="00FE4678" w:rsidRPr="002F61A0">
        <w:rPr>
          <w:sz w:val="24"/>
          <w:szCs w:val="24"/>
          <w:lang w:val="mn-MN"/>
        </w:rPr>
        <w:t>ПТК</w:t>
      </w:r>
      <w:r w:rsidR="00FE4678" w:rsidRPr="002F61A0">
        <w:rPr>
          <w:sz w:val="24"/>
          <w:szCs w:val="24"/>
        </w:rPr>
        <w:t>-ийн захирлын саналыг харгалзан үзэж шийдвэрлэнэ.</w:t>
      </w:r>
    </w:p>
    <w:p w:rsidR="0065448D" w:rsidRPr="002F61A0" w:rsidRDefault="0065448D" w:rsidP="0065448D">
      <w:pPr>
        <w:ind w:firstLine="720"/>
        <w:jc w:val="both"/>
        <w:rPr>
          <w:sz w:val="24"/>
          <w:szCs w:val="24"/>
          <w:lang w:val="mn-MN"/>
        </w:rPr>
      </w:pPr>
    </w:p>
    <w:p w:rsidR="00FE4678" w:rsidRPr="002F61A0" w:rsidRDefault="009B03FF" w:rsidP="0065448D">
      <w:pPr>
        <w:ind w:firstLine="720"/>
        <w:jc w:val="both"/>
        <w:rPr>
          <w:b/>
          <w:sz w:val="24"/>
          <w:szCs w:val="24"/>
          <w:lang w:val="mn-MN"/>
        </w:rPr>
      </w:pPr>
      <w:r w:rsidRPr="002F61A0">
        <w:rPr>
          <w:b/>
          <w:sz w:val="24"/>
          <w:szCs w:val="24"/>
          <w:lang w:val="mn-MN"/>
        </w:rPr>
        <w:t xml:space="preserve">Гурав. </w:t>
      </w:r>
      <w:r w:rsidR="00FE4678" w:rsidRPr="002F61A0">
        <w:rPr>
          <w:b/>
          <w:sz w:val="24"/>
          <w:szCs w:val="24"/>
        </w:rPr>
        <w:t>Төгсөлтийн шалгалтын үндсэн зарчим</w:t>
      </w:r>
    </w:p>
    <w:p w:rsidR="0065448D" w:rsidRPr="002F61A0" w:rsidRDefault="0065448D" w:rsidP="0065448D">
      <w:pPr>
        <w:ind w:firstLine="720"/>
        <w:jc w:val="both"/>
        <w:rPr>
          <w:b/>
          <w:sz w:val="24"/>
          <w:szCs w:val="24"/>
          <w:lang w:val="mn-MN"/>
        </w:rPr>
      </w:pPr>
    </w:p>
    <w:p w:rsidR="00FE4678" w:rsidRPr="002F61A0" w:rsidRDefault="009B03FF" w:rsidP="0065448D">
      <w:pPr>
        <w:ind w:firstLine="720"/>
        <w:jc w:val="both"/>
        <w:rPr>
          <w:sz w:val="24"/>
          <w:szCs w:val="24"/>
        </w:rPr>
      </w:pPr>
      <w:r w:rsidRPr="002F61A0">
        <w:rPr>
          <w:sz w:val="24"/>
          <w:szCs w:val="24"/>
          <w:lang w:val="mn-MN"/>
        </w:rPr>
        <w:t>3.1.</w:t>
      </w:r>
      <w:r w:rsidR="00FE4678" w:rsidRPr="002F61A0">
        <w:rPr>
          <w:sz w:val="24"/>
          <w:szCs w:val="24"/>
        </w:rPr>
        <w:t>Шалгалтын агуулга нь техникийн болон мэргэжлийн сургуулиар эзэмшүүлж байгаа мэргэжлийн боловсролын агуулгын стандартын шаардлагад нийцсэн байна.</w:t>
      </w:r>
    </w:p>
    <w:p w:rsidR="00FE4678" w:rsidRPr="002F61A0" w:rsidRDefault="009B03FF" w:rsidP="0065448D">
      <w:pPr>
        <w:ind w:firstLine="720"/>
        <w:jc w:val="both"/>
        <w:rPr>
          <w:sz w:val="24"/>
          <w:szCs w:val="24"/>
        </w:rPr>
      </w:pPr>
      <w:r w:rsidRPr="002F61A0">
        <w:rPr>
          <w:sz w:val="24"/>
          <w:szCs w:val="24"/>
          <w:lang w:val="mn-MN"/>
        </w:rPr>
        <w:t>3.2.</w:t>
      </w:r>
      <w:r w:rsidR="00FE4678" w:rsidRPr="002F61A0">
        <w:rPr>
          <w:sz w:val="24"/>
          <w:szCs w:val="24"/>
        </w:rPr>
        <w:t>Шалгалтын хэлбэр нь төгсөгчдөд тодорхой мэдээлэгдсэн байна.</w:t>
      </w:r>
    </w:p>
    <w:p w:rsidR="00FE4678" w:rsidRPr="002F61A0" w:rsidRDefault="009B03FF" w:rsidP="0065448D">
      <w:pPr>
        <w:ind w:firstLine="720"/>
        <w:jc w:val="both"/>
        <w:rPr>
          <w:sz w:val="24"/>
          <w:szCs w:val="24"/>
        </w:rPr>
      </w:pPr>
      <w:r w:rsidRPr="002F61A0">
        <w:rPr>
          <w:sz w:val="24"/>
          <w:szCs w:val="24"/>
          <w:lang w:val="mn-MN"/>
        </w:rPr>
        <w:t>3.3.</w:t>
      </w:r>
      <w:r w:rsidR="00FE4678" w:rsidRPr="002F61A0">
        <w:rPr>
          <w:sz w:val="24"/>
          <w:szCs w:val="24"/>
        </w:rPr>
        <w:t>Шалгалтын даалгавар шалгуур нь үнэн зөв, шалгуулагчид ойлгомжтой бодит үнэлгээ, дүгнэлт гаргах бололцоотой байна.</w:t>
      </w:r>
    </w:p>
    <w:p w:rsidR="00FE4678" w:rsidRPr="002F61A0" w:rsidRDefault="009B03FF" w:rsidP="0065448D">
      <w:pPr>
        <w:ind w:firstLine="720"/>
        <w:jc w:val="both"/>
        <w:rPr>
          <w:sz w:val="24"/>
          <w:szCs w:val="24"/>
        </w:rPr>
      </w:pPr>
      <w:r w:rsidRPr="002F61A0">
        <w:rPr>
          <w:sz w:val="24"/>
          <w:szCs w:val="24"/>
          <w:lang w:val="mn-MN"/>
        </w:rPr>
        <w:t>3.4.</w:t>
      </w:r>
      <w:r w:rsidR="00FE4678" w:rsidRPr="002F61A0">
        <w:rPr>
          <w:sz w:val="24"/>
          <w:szCs w:val="24"/>
        </w:rPr>
        <w:t>Шалгалт нь нийтэд ил тод шударга, шаардлага хүндэтгэлийг зөв хослуулсан байна.</w:t>
      </w:r>
    </w:p>
    <w:p w:rsidR="00FE4678" w:rsidRPr="002F61A0" w:rsidRDefault="00FE4678" w:rsidP="00FE4678">
      <w:pPr>
        <w:ind w:left="1080"/>
        <w:jc w:val="both"/>
        <w:rPr>
          <w:sz w:val="24"/>
          <w:szCs w:val="24"/>
        </w:rPr>
      </w:pPr>
    </w:p>
    <w:p w:rsidR="00FE4678" w:rsidRPr="002F61A0" w:rsidRDefault="009B03FF" w:rsidP="0065448D">
      <w:pPr>
        <w:ind w:firstLine="720"/>
        <w:jc w:val="both"/>
        <w:rPr>
          <w:b/>
          <w:sz w:val="24"/>
          <w:szCs w:val="24"/>
          <w:lang w:val="mn-MN"/>
        </w:rPr>
      </w:pPr>
      <w:r w:rsidRPr="002F61A0">
        <w:rPr>
          <w:b/>
          <w:sz w:val="24"/>
          <w:szCs w:val="24"/>
          <w:lang w:val="mn-MN"/>
        </w:rPr>
        <w:t xml:space="preserve">Дөрөв. </w:t>
      </w:r>
      <w:r w:rsidR="00FE4678" w:rsidRPr="002F61A0">
        <w:rPr>
          <w:b/>
          <w:sz w:val="24"/>
          <w:szCs w:val="24"/>
        </w:rPr>
        <w:t>Шалгалтын агуулга, хэлбэр</w:t>
      </w:r>
    </w:p>
    <w:p w:rsidR="0065448D" w:rsidRPr="002F61A0" w:rsidRDefault="0065448D" w:rsidP="0065448D">
      <w:pPr>
        <w:ind w:firstLine="720"/>
        <w:jc w:val="both"/>
        <w:rPr>
          <w:b/>
          <w:sz w:val="24"/>
          <w:szCs w:val="24"/>
          <w:lang w:val="mn-MN"/>
        </w:rPr>
      </w:pPr>
    </w:p>
    <w:p w:rsidR="00FE4678" w:rsidRPr="002F61A0" w:rsidRDefault="009B03FF" w:rsidP="0065448D">
      <w:pPr>
        <w:ind w:firstLine="720"/>
        <w:jc w:val="both"/>
        <w:rPr>
          <w:sz w:val="24"/>
          <w:szCs w:val="24"/>
        </w:rPr>
      </w:pPr>
      <w:r w:rsidRPr="002F61A0">
        <w:rPr>
          <w:sz w:val="24"/>
          <w:szCs w:val="24"/>
          <w:lang w:val="mn-MN"/>
        </w:rPr>
        <w:t>4.1.</w:t>
      </w:r>
      <w:r w:rsidR="00FE4678" w:rsidRPr="002F61A0">
        <w:rPr>
          <w:sz w:val="24"/>
          <w:szCs w:val="24"/>
        </w:rPr>
        <w:t>Техникийн болон мэргэжлийн сургуулийн төгсөлтийн шалгалтын агуулга нь мэргэжил эзэмшүүлэх тухай хичээлийн хөтөлбөрийн агуулгад тусгагдсан ерөнхий болон онолын мэдлэг, тэдгээрийн хүрээг бүрэн хамарсан байна.</w:t>
      </w:r>
    </w:p>
    <w:p w:rsidR="00FE4678" w:rsidRPr="002F61A0" w:rsidRDefault="009B03FF" w:rsidP="0065448D">
      <w:pPr>
        <w:ind w:firstLine="720"/>
        <w:jc w:val="both"/>
        <w:rPr>
          <w:sz w:val="24"/>
          <w:szCs w:val="24"/>
        </w:rPr>
      </w:pPr>
      <w:r w:rsidRPr="002F61A0">
        <w:rPr>
          <w:sz w:val="24"/>
          <w:szCs w:val="24"/>
          <w:lang w:val="mn-MN"/>
        </w:rPr>
        <w:t>4.2.</w:t>
      </w:r>
      <w:r w:rsidR="00FE4678" w:rsidRPr="002F61A0">
        <w:rPr>
          <w:sz w:val="24"/>
          <w:szCs w:val="24"/>
        </w:rPr>
        <w:t>Төгсөлтийн шалгалт нь мэргэжил эзэмшүүлэх тодорхой хичээлийн мэдлэг чадварыг үнэлэх шалгалт төгсөлтийн ажил гэсэн хэлбэртэй байна. Хос буюу хэд хэдэн мэргэжил зэрэг эзэмшүүлж байгаа бол тухайн хичээл тус бүрээр шалгалт авна.</w:t>
      </w:r>
    </w:p>
    <w:p w:rsidR="00FE4678" w:rsidRPr="002F61A0" w:rsidRDefault="009B03FF" w:rsidP="0065448D">
      <w:pPr>
        <w:ind w:firstLine="720"/>
        <w:jc w:val="both"/>
        <w:rPr>
          <w:sz w:val="24"/>
          <w:szCs w:val="24"/>
        </w:rPr>
      </w:pPr>
      <w:r w:rsidRPr="002F61A0">
        <w:rPr>
          <w:sz w:val="24"/>
          <w:szCs w:val="24"/>
          <w:lang w:val="mn-MN"/>
        </w:rPr>
        <w:t>4.3.</w:t>
      </w:r>
      <w:r w:rsidR="00FE4678" w:rsidRPr="002F61A0">
        <w:rPr>
          <w:sz w:val="24"/>
          <w:szCs w:val="24"/>
        </w:rPr>
        <w:t>Төгсөлтийн шалгалтыг билет сугалуулж амаар хариулт авах, бичгийн болон дадлагын ажил /сорил/ гүйцэтгүүлэх журмаар зохион байгуулна.</w:t>
      </w:r>
    </w:p>
    <w:p w:rsidR="00FE4678" w:rsidRPr="002F61A0" w:rsidRDefault="009B03FF" w:rsidP="0065448D">
      <w:pPr>
        <w:ind w:firstLine="720"/>
        <w:jc w:val="both"/>
        <w:rPr>
          <w:sz w:val="24"/>
          <w:szCs w:val="24"/>
        </w:rPr>
      </w:pPr>
      <w:r w:rsidRPr="002F61A0">
        <w:rPr>
          <w:sz w:val="24"/>
          <w:szCs w:val="24"/>
          <w:lang w:val="mn-MN"/>
        </w:rPr>
        <w:t>4.4.</w:t>
      </w:r>
      <w:r w:rsidR="00FE4678" w:rsidRPr="002F61A0">
        <w:rPr>
          <w:sz w:val="24"/>
          <w:szCs w:val="24"/>
        </w:rPr>
        <w:t>Төгсөгчдийн эзэмшиж байгаа мэргэжлийн онцлогоос хамааран төгсөлтийн ажил эзэмшиж байгаа мэргэжлийнхээ ур чадварыг бүрэн харуулж чадах бүтээл хэлбэрээр байж болно. Төгсөлтийн ажлын сэдэв хэлбэрийг тухайн сургуулийн захирлын тушаалаар батлах бөгөөд төгсөгчийн сэдэв сонгох эрхийг харгалзан үзнэ. Төгсөгч тодорхой үндэслэлээр өөрөө төгсөлтийн ажлын сэдэв дэвшүүлж болно.</w:t>
      </w:r>
    </w:p>
    <w:p w:rsidR="00FE4678" w:rsidRPr="002F61A0" w:rsidRDefault="009B03FF" w:rsidP="0065448D">
      <w:pPr>
        <w:ind w:firstLine="720"/>
        <w:jc w:val="both"/>
        <w:rPr>
          <w:sz w:val="24"/>
          <w:szCs w:val="24"/>
        </w:rPr>
      </w:pPr>
      <w:r w:rsidRPr="002F61A0">
        <w:rPr>
          <w:sz w:val="24"/>
          <w:szCs w:val="24"/>
          <w:lang w:val="mn-MN"/>
        </w:rPr>
        <w:t>4.5.</w:t>
      </w:r>
      <w:r w:rsidR="00FE4678" w:rsidRPr="002F61A0">
        <w:rPr>
          <w:sz w:val="24"/>
          <w:szCs w:val="24"/>
        </w:rPr>
        <w:t>Төгсөгч бүрд төгсөлтийн ажлын удирдагч буюу зөвлөгчийг сургуулийн захирлын тушаалаар томилон ажиллуулна.</w:t>
      </w:r>
    </w:p>
    <w:p w:rsidR="00FE4678" w:rsidRPr="002F61A0" w:rsidRDefault="009B03FF" w:rsidP="0065448D">
      <w:pPr>
        <w:ind w:firstLine="720"/>
        <w:jc w:val="both"/>
        <w:rPr>
          <w:sz w:val="24"/>
          <w:szCs w:val="24"/>
        </w:rPr>
      </w:pPr>
      <w:r w:rsidRPr="002F61A0">
        <w:rPr>
          <w:sz w:val="24"/>
          <w:szCs w:val="24"/>
          <w:lang w:val="mn-MN"/>
        </w:rPr>
        <w:t>4.6.</w:t>
      </w:r>
      <w:r w:rsidR="00FE4678" w:rsidRPr="002F61A0">
        <w:rPr>
          <w:sz w:val="24"/>
          <w:szCs w:val="24"/>
        </w:rPr>
        <w:t>Төгсөлтиийн ажлыг тухайн түвшний сургалтын сүүлийн улирлын эцэст хамгаална.</w:t>
      </w:r>
    </w:p>
    <w:p w:rsidR="00FE4678" w:rsidRPr="002F61A0" w:rsidRDefault="009B03FF" w:rsidP="0065448D">
      <w:pPr>
        <w:ind w:firstLine="720"/>
        <w:jc w:val="both"/>
        <w:rPr>
          <w:sz w:val="24"/>
          <w:szCs w:val="24"/>
        </w:rPr>
      </w:pPr>
      <w:r w:rsidRPr="002F61A0">
        <w:rPr>
          <w:sz w:val="24"/>
          <w:szCs w:val="24"/>
          <w:lang w:val="mn-MN"/>
        </w:rPr>
        <w:t>4.7.</w:t>
      </w:r>
      <w:r w:rsidR="00FE4678" w:rsidRPr="002F61A0">
        <w:rPr>
          <w:sz w:val="24"/>
          <w:szCs w:val="24"/>
        </w:rPr>
        <w:t>Төгсөлтийн шалгалтын дүнг төгсөгчийн хичээлийн явцын дүнгээр дүйцүүлэн тавихыг</w:t>
      </w:r>
      <w:r w:rsidR="00FE4678" w:rsidRPr="002F61A0">
        <w:rPr>
          <w:sz w:val="24"/>
          <w:szCs w:val="24"/>
          <w:lang w:val="mn-MN"/>
        </w:rPr>
        <w:t xml:space="preserve"> </w:t>
      </w:r>
      <w:r w:rsidR="00FE4678" w:rsidRPr="002F61A0">
        <w:rPr>
          <w:sz w:val="24"/>
          <w:szCs w:val="24"/>
        </w:rPr>
        <w:t>хориглоно.</w:t>
      </w:r>
    </w:p>
    <w:p w:rsidR="00FE4678" w:rsidRPr="002F61A0" w:rsidRDefault="00FE4678" w:rsidP="00FE4678">
      <w:pPr>
        <w:ind w:left="1080"/>
        <w:jc w:val="both"/>
        <w:rPr>
          <w:sz w:val="24"/>
          <w:szCs w:val="24"/>
        </w:rPr>
      </w:pPr>
    </w:p>
    <w:p w:rsidR="00FE4678" w:rsidRPr="002F61A0" w:rsidRDefault="009B03FF" w:rsidP="0065448D">
      <w:pPr>
        <w:ind w:firstLine="720"/>
        <w:jc w:val="both"/>
        <w:rPr>
          <w:b/>
          <w:sz w:val="24"/>
          <w:szCs w:val="24"/>
          <w:lang w:val="mn-MN"/>
        </w:rPr>
      </w:pPr>
      <w:r w:rsidRPr="002F61A0">
        <w:rPr>
          <w:b/>
          <w:sz w:val="24"/>
          <w:szCs w:val="24"/>
          <w:lang w:val="mn-MN"/>
        </w:rPr>
        <w:t xml:space="preserve">Тав. </w:t>
      </w:r>
      <w:r w:rsidR="00FE4678" w:rsidRPr="002F61A0">
        <w:rPr>
          <w:b/>
          <w:sz w:val="24"/>
          <w:szCs w:val="24"/>
        </w:rPr>
        <w:t>Төгсөлтийн шалгалтын комисс</w:t>
      </w:r>
    </w:p>
    <w:p w:rsidR="0065448D" w:rsidRPr="002F61A0" w:rsidRDefault="0065448D" w:rsidP="0065448D">
      <w:pPr>
        <w:ind w:firstLine="720"/>
        <w:jc w:val="both"/>
        <w:rPr>
          <w:b/>
          <w:sz w:val="24"/>
          <w:szCs w:val="24"/>
          <w:lang w:val="mn-MN"/>
        </w:rPr>
      </w:pPr>
    </w:p>
    <w:p w:rsidR="00FE4678" w:rsidRPr="002F61A0" w:rsidRDefault="009B03FF" w:rsidP="0065448D">
      <w:pPr>
        <w:ind w:firstLine="720"/>
        <w:jc w:val="both"/>
        <w:rPr>
          <w:sz w:val="24"/>
          <w:szCs w:val="24"/>
        </w:rPr>
      </w:pPr>
      <w:r w:rsidRPr="002F61A0">
        <w:rPr>
          <w:sz w:val="24"/>
          <w:szCs w:val="24"/>
          <w:lang w:val="mn-MN"/>
        </w:rPr>
        <w:t>5.1.</w:t>
      </w:r>
      <w:r w:rsidR="00FE4678" w:rsidRPr="002F61A0">
        <w:rPr>
          <w:sz w:val="24"/>
          <w:szCs w:val="24"/>
        </w:rPr>
        <w:t>Техникийн болон мэргэжлийн сургууль бүр төгсөлтийн шалгалтын ерөнхий ба салбар комиссыг сургуулийн захирлын тушаалаар байгуулж ажиллана.</w:t>
      </w:r>
    </w:p>
    <w:p w:rsidR="00FE4678" w:rsidRPr="002F61A0" w:rsidRDefault="009B03FF" w:rsidP="0065448D">
      <w:pPr>
        <w:ind w:firstLine="720"/>
        <w:jc w:val="both"/>
        <w:rPr>
          <w:sz w:val="24"/>
          <w:szCs w:val="24"/>
        </w:rPr>
      </w:pPr>
      <w:r w:rsidRPr="002F61A0">
        <w:rPr>
          <w:sz w:val="24"/>
          <w:szCs w:val="24"/>
          <w:lang w:val="mn-MN"/>
        </w:rPr>
        <w:t>5.2.</w:t>
      </w:r>
      <w:r w:rsidR="00FE4678" w:rsidRPr="002F61A0">
        <w:rPr>
          <w:sz w:val="24"/>
          <w:szCs w:val="24"/>
        </w:rPr>
        <w:t>Ерөнхий комиссын бүрэлдэхүүнийг боловсролын асуудал эрхэлсэн төрийн захиргааны төв байгууллагатай зөвшилцөн тохирох бөгөөд түүнд тухайн сургууль, төв орон нутгийн боловсролын удирдах болон ажил олгогч, хэрэглэгч, хөдөлмөрийн зах зээлийн асуудал эрхэлсэн байгууллагын төлөөллийг оролцуулна. Ажил олгогчдын төлөөллийг сонгон авахдаа ажил олгогч эздийн нэгдсэн холбоо,мэргэжлийн холбоодтой урьдчилан тохиролцсон байна.</w:t>
      </w:r>
    </w:p>
    <w:p w:rsidR="00FE4678" w:rsidRPr="002F61A0" w:rsidRDefault="009B03FF" w:rsidP="0065448D">
      <w:pPr>
        <w:ind w:firstLine="720"/>
        <w:jc w:val="both"/>
        <w:rPr>
          <w:sz w:val="24"/>
          <w:szCs w:val="24"/>
        </w:rPr>
      </w:pPr>
      <w:r w:rsidRPr="002F61A0">
        <w:rPr>
          <w:sz w:val="24"/>
          <w:szCs w:val="24"/>
          <w:lang w:val="mn-MN"/>
        </w:rPr>
        <w:t>5.3.</w:t>
      </w:r>
      <w:r w:rsidR="00FE4678" w:rsidRPr="002F61A0">
        <w:rPr>
          <w:sz w:val="24"/>
          <w:szCs w:val="24"/>
        </w:rPr>
        <w:t>Салбар комиссыг төгсөлтийн шалгалтын хэлбэр бүрээр байгуулна. Энэхүү комисс нь 5-аас доошгүй хүний бүрэлдэхүүнтэй байх бөгөөд комиссын гишүүдийн 50-аас доошгүй хувь нь гадны байгууллагын мэргэжлийн хүмүүс байна.</w:t>
      </w:r>
    </w:p>
    <w:p w:rsidR="00FE4678" w:rsidRPr="002F61A0" w:rsidRDefault="009B03FF" w:rsidP="0065448D">
      <w:pPr>
        <w:ind w:firstLine="720"/>
        <w:jc w:val="both"/>
        <w:rPr>
          <w:sz w:val="24"/>
          <w:szCs w:val="24"/>
        </w:rPr>
      </w:pPr>
      <w:r w:rsidRPr="002F61A0">
        <w:rPr>
          <w:sz w:val="24"/>
          <w:szCs w:val="24"/>
          <w:lang w:val="mn-MN"/>
        </w:rPr>
        <w:t>5.4.</w:t>
      </w:r>
      <w:r w:rsidR="00FE4678" w:rsidRPr="002F61A0">
        <w:rPr>
          <w:sz w:val="24"/>
          <w:szCs w:val="24"/>
        </w:rPr>
        <w:t>Төгсөлтийн ерөнхий комиссын дарга нь салбар комиссуудын үйл ажиллагааг зохион байгуулах хянах төгсөгчдөд шалгалтын шаардлага адил тэгш байх нөхцлийг хангах үүргийг хүлээнэ. Ерөнхий комиссын дарга шалгалтын аль нэг комиссыг ахалж болно.</w:t>
      </w:r>
    </w:p>
    <w:p w:rsidR="00FE4678" w:rsidRPr="002F61A0" w:rsidRDefault="009B03FF" w:rsidP="0065448D">
      <w:pPr>
        <w:ind w:firstLine="720"/>
        <w:jc w:val="both"/>
        <w:rPr>
          <w:sz w:val="24"/>
          <w:szCs w:val="24"/>
        </w:rPr>
      </w:pPr>
      <w:r w:rsidRPr="002F61A0">
        <w:rPr>
          <w:sz w:val="24"/>
          <w:szCs w:val="24"/>
          <w:lang w:val="mn-MN"/>
        </w:rPr>
        <w:t>5.5.</w:t>
      </w:r>
      <w:r w:rsidR="00FE4678" w:rsidRPr="002F61A0">
        <w:rPr>
          <w:sz w:val="24"/>
          <w:szCs w:val="24"/>
        </w:rPr>
        <w:t>Салбар комиссын гишүүд хүндэтгэн үзэх шалтгаангүйгээр төгсөлтийн шалгалтанд ирэхгүй байж үл болно. Салбар комиссын гишүүдийн 75%-иас доошгүй нь хүрэлцэн ирсэн нөхцөлд шалгалтыг эхлүүлнэ.</w:t>
      </w:r>
    </w:p>
    <w:p w:rsidR="00FE4678" w:rsidRPr="002F61A0" w:rsidRDefault="009B03FF" w:rsidP="0065448D">
      <w:pPr>
        <w:ind w:firstLine="720"/>
        <w:jc w:val="both"/>
        <w:rPr>
          <w:sz w:val="24"/>
          <w:szCs w:val="24"/>
        </w:rPr>
      </w:pPr>
      <w:r w:rsidRPr="002F61A0">
        <w:rPr>
          <w:sz w:val="24"/>
          <w:szCs w:val="24"/>
          <w:lang w:val="mn-MN"/>
        </w:rPr>
        <w:t>5.6.</w:t>
      </w:r>
      <w:r w:rsidR="00FE4678" w:rsidRPr="002F61A0">
        <w:rPr>
          <w:sz w:val="24"/>
          <w:szCs w:val="24"/>
        </w:rPr>
        <w:t>Салбар комисс дор дурдсан үндсэн үүргийг хэрэгжүүлнэ.</w:t>
      </w:r>
    </w:p>
    <w:p w:rsidR="00FE4678" w:rsidRPr="002F61A0" w:rsidRDefault="009B03FF" w:rsidP="0065448D">
      <w:pPr>
        <w:ind w:firstLine="720"/>
        <w:jc w:val="both"/>
        <w:rPr>
          <w:sz w:val="24"/>
          <w:szCs w:val="24"/>
        </w:rPr>
      </w:pPr>
      <w:r w:rsidRPr="002F61A0">
        <w:rPr>
          <w:sz w:val="24"/>
          <w:szCs w:val="24"/>
          <w:lang w:val="mn-MN"/>
        </w:rPr>
        <w:t>5.6.1.</w:t>
      </w:r>
      <w:r w:rsidR="00FE4678" w:rsidRPr="002F61A0">
        <w:rPr>
          <w:sz w:val="24"/>
          <w:szCs w:val="24"/>
        </w:rPr>
        <w:t>Төгсөгч нэг бүрийн эзэмшиж байгаа мэргэжлийн онолын мэдлэг болон ур чадварыг үнэлж, мэргэжлийн бодлогын агуулгын стандартын шаардлагыг хангаж байгаа байдалд үнэлэлт дүгнэлт өгөх</w:t>
      </w:r>
    </w:p>
    <w:p w:rsidR="00FE4678" w:rsidRPr="002F61A0" w:rsidRDefault="009B03FF" w:rsidP="0065448D">
      <w:pPr>
        <w:ind w:firstLine="720"/>
        <w:jc w:val="both"/>
        <w:rPr>
          <w:sz w:val="24"/>
          <w:szCs w:val="24"/>
        </w:rPr>
      </w:pPr>
      <w:r w:rsidRPr="002F61A0">
        <w:rPr>
          <w:sz w:val="24"/>
          <w:szCs w:val="24"/>
          <w:lang w:val="mn-MN"/>
        </w:rPr>
        <w:t>5.6.2.</w:t>
      </w:r>
      <w:r w:rsidR="00FE4678" w:rsidRPr="002F61A0">
        <w:rPr>
          <w:sz w:val="24"/>
          <w:szCs w:val="24"/>
        </w:rPr>
        <w:t>Төгсөгчдийн мэргэжлийн мэдлэг, ур чадварыг харгалзан түүнд олгох мэргэжлийн зэргийг  тодорхойлох</w:t>
      </w:r>
    </w:p>
    <w:p w:rsidR="00FE4678" w:rsidRPr="002F61A0" w:rsidRDefault="009B03FF" w:rsidP="0065448D">
      <w:pPr>
        <w:ind w:firstLine="720"/>
        <w:jc w:val="both"/>
        <w:rPr>
          <w:sz w:val="24"/>
          <w:szCs w:val="24"/>
        </w:rPr>
      </w:pPr>
      <w:r w:rsidRPr="002F61A0">
        <w:rPr>
          <w:sz w:val="24"/>
          <w:szCs w:val="24"/>
          <w:lang w:val="mn-MN"/>
        </w:rPr>
        <w:t>5.6.3.</w:t>
      </w:r>
      <w:r w:rsidR="00FE4678" w:rsidRPr="002F61A0">
        <w:rPr>
          <w:sz w:val="24"/>
          <w:szCs w:val="24"/>
        </w:rPr>
        <w:t xml:space="preserve">Төгсөлтийн шалгалтын дүнгийн байдал, эзэмшсэн мэргэжлийн түвшин, </w:t>
      </w:r>
      <w:r w:rsidR="00FE4678" w:rsidRPr="002F61A0">
        <w:rPr>
          <w:sz w:val="24"/>
          <w:szCs w:val="24"/>
        </w:rPr>
        <w:lastRenderedPageBreak/>
        <w:t>ур чадварыг харгалзан мэргэжлийн сургалтын чанарыг сайжруулах талаар зөвлөмж гаргаж сургуулийн захиргаа болон боловсролын асуудал эрхэлсэн төрийн захиргааны төв байгууллагад хүлээлгэн өгөх</w:t>
      </w:r>
    </w:p>
    <w:p w:rsidR="00FE4678" w:rsidRPr="002F61A0" w:rsidRDefault="00FE4678" w:rsidP="00FE4678">
      <w:pPr>
        <w:ind w:left="1800"/>
        <w:jc w:val="both"/>
        <w:rPr>
          <w:sz w:val="24"/>
          <w:szCs w:val="24"/>
        </w:rPr>
      </w:pPr>
    </w:p>
    <w:p w:rsidR="00FE4678" w:rsidRPr="002F61A0" w:rsidRDefault="009B03FF" w:rsidP="0065448D">
      <w:pPr>
        <w:ind w:firstLine="720"/>
        <w:jc w:val="both"/>
        <w:rPr>
          <w:b/>
          <w:sz w:val="24"/>
          <w:szCs w:val="24"/>
          <w:lang w:val="mn-MN"/>
        </w:rPr>
      </w:pPr>
      <w:r w:rsidRPr="002F61A0">
        <w:rPr>
          <w:b/>
          <w:sz w:val="24"/>
          <w:szCs w:val="24"/>
          <w:lang w:val="mn-MN"/>
        </w:rPr>
        <w:t xml:space="preserve">Зургаа. </w:t>
      </w:r>
      <w:r w:rsidR="00FE4678" w:rsidRPr="002F61A0">
        <w:rPr>
          <w:b/>
          <w:sz w:val="24"/>
          <w:szCs w:val="24"/>
        </w:rPr>
        <w:t>Төгсөлтийн шалгалт авах, мэргэжлийн зэрэг олгох</w:t>
      </w:r>
    </w:p>
    <w:p w:rsidR="0065448D" w:rsidRPr="002F61A0" w:rsidRDefault="0065448D" w:rsidP="0065448D">
      <w:pPr>
        <w:ind w:firstLine="720"/>
        <w:jc w:val="both"/>
        <w:rPr>
          <w:b/>
          <w:sz w:val="24"/>
          <w:szCs w:val="24"/>
          <w:lang w:val="mn-MN"/>
        </w:rPr>
      </w:pPr>
    </w:p>
    <w:p w:rsidR="00FE4678" w:rsidRPr="002F61A0" w:rsidRDefault="0044348A" w:rsidP="0065448D">
      <w:pPr>
        <w:ind w:firstLine="720"/>
        <w:jc w:val="both"/>
        <w:rPr>
          <w:sz w:val="24"/>
          <w:szCs w:val="24"/>
        </w:rPr>
      </w:pPr>
      <w:r w:rsidRPr="002F61A0">
        <w:rPr>
          <w:sz w:val="24"/>
          <w:szCs w:val="24"/>
          <w:lang w:val="mn-MN"/>
        </w:rPr>
        <w:t>6</w:t>
      </w:r>
      <w:r w:rsidR="009B03FF" w:rsidRPr="002F61A0">
        <w:rPr>
          <w:sz w:val="24"/>
          <w:szCs w:val="24"/>
          <w:lang w:val="mn-MN"/>
        </w:rPr>
        <w:t>.1.</w:t>
      </w:r>
      <w:r w:rsidR="00FE4678" w:rsidRPr="002F61A0">
        <w:rPr>
          <w:sz w:val="24"/>
          <w:szCs w:val="24"/>
        </w:rPr>
        <w:t>Техникийн болон мэргэжлийн сургууль нь төгсөлтийн шалгалтын хэлбэр, нөхцлийн тухай уг шалгалт эхлэхээс 4-өөс доошгүй сарын өмнө төгсөх суралцагчид мэдээлж тэднийг шалгалтын хөтөлбөрөөр хангахаас гадна зөвлөгөө авах, шалгалтанд бэлтгэхэд шаардагдах нөхцлийг бүрдүүлэх арга хэмжээ авна.</w:t>
      </w:r>
    </w:p>
    <w:p w:rsidR="00FE4678" w:rsidRPr="002F61A0" w:rsidRDefault="0044348A" w:rsidP="0065448D">
      <w:pPr>
        <w:ind w:firstLine="720"/>
        <w:jc w:val="both"/>
        <w:rPr>
          <w:sz w:val="24"/>
          <w:szCs w:val="24"/>
        </w:rPr>
      </w:pPr>
      <w:r w:rsidRPr="002F61A0">
        <w:rPr>
          <w:sz w:val="24"/>
          <w:szCs w:val="24"/>
          <w:lang w:val="mn-MN"/>
        </w:rPr>
        <w:t>6.2.</w:t>
      </w:r>
      <w:r w:rsidR="00FE4678" w:rsidRPr="002F61A0">
        <w:rPr>
          <w:sz w:val="24"/>
          <w:szCs w:val="24"/>
        </w:rPr>
        <w:t>Тухайн түвшний сургалтын агуулгын хөтөлбөрийг бүрэн дуусгасан сургалтын төлөвлөгөөний дагуу өмнө нь өгвөл зохих бүх шалгалт шүүлгийг өгсөн суралцагчийг төгсөлтийн шалгалтанд оруулна.</w:t>
      </w:r>
    </w:p>
    <w:p w:rsidR="00FE4678" w:rsidRPr="002F61A0" w:rsidRDefault="0044348A" w:rsidP="0065448D">
      <w:pPr>
        <w:ind w:firstLine="720"/>
        <w:jc w:val="both"/>
        <w:rPr>
          <w:sz w:val="24"/>
          <w:szCs w:val="24"/>
        </w:rPr>
      </w:pPr>
      <w:r w:rsidRPr="002F61A0">
        <w:rPr>
          <w:sz w:val="24"/>
          <w:szCs w:val="24"/>
          <w:lang w:val="mn-MN"/>
        </w:rPr>
        <w:t>6.3.</w:t>
      </w:r>
      <w:r w:rsidR="00FE4678" w:rsidRPr="002F61A0">
        <w:rPr>
          <w:sz w:val="24"/>
          <w:szCs w:val="24"/>
        </w:rPr>
        <w:t>Төгсөлтийн шалгалтын үнэлгээнд боловсролын асуудал эрхэлсэн төрийн захиргааны төв байгууллагаас батлан тухайн үед мөрдүүлж байгаа суралцагчдын мэдлэг чадварыг үнэлэх дүнгийн үнэлгээг ашиглана.</w:t>
      </w:r>
    </w:p>
    <w:p w:rsidR="00FE4678" w:rsidRPr="002F61A0" w:rsidRDefault="0044348A" w:rsidP="0065448D">
      <w:pPr>
        <w:ind w:firstLine="720"/>
        <w:jc w:val="both"/>
        <w:rPr>
          <w:sz w:val="24"/>
          <w:szCs w:val="24"/>
        </w:rPr>
      </w:pPr>
      <w:r w:rsidRPr="002F61A0">
        <w:rPr>
          <w:sz w:val="24"/>
          <w:szCs w:val="24"/>
          <w:lang w:val="mn-MN"/>
        </w:rPr>
        <w:t>6.4.</w:t>
      </w:r>
      <w:r w:rsidR="00FE4678" w:rsidRPr="002F61A0">
        <w:rPr>
          <w:sz w:val="24"/>
          <w:szCs w:val="24"/>
        </w:rPr>
        <w:t>Төгсөлтийн шалгалтын дүнг комиссын гишүүдийн хаалтай хуралдаанаар хэлэлцэж, гишүүдийн олонхийн саналаар шийдвэрлэнэ. Санал тэнцсэн нөхцөлд комиссын даргын саналаар шийдвэрлэнэ.</w:t>
      </w:r>
    </w:p>
    <w:p w:rsidR="00FE4678" w:rsidRPr="002F61A0" w:rsidRDefault="0044348A" w:rsidP="0065448D">
      <w:pPr>
        <w:ind w:firstLine="720"/>
        <w:jc w:val="both"/>
        <w:rPr>
          <w:sz w:val="24"/>
          <w:szCs w:val="24"/>
        </w:rPr>
      </w:pPr>
      <w:r w:rsidRPr="002F61A0">
        <w:rPr>
          <w:sz w:val="24"/>
          <w:szCs w:val="24"/>
          <w:lang w:val="mn-MN"/>
        </w:rPr>
        <w:t>6.5.</w:t>
      </w:r>
      <w:r w:rsidR="00FE4678" w:rsidRPr="002F61A0">
        <w:rPr>
          <w:sz w:val="24"/>
          <w:szCs w:val="24"/>
        </w:rPr>
        <w:t>Хүндэтгэх шалтгаангүйгээр төгсөлтийн шалгалтанд ороогүй төгсөгчийг хангалтгүй үнэлгээ авсанд тооцно.</w:t>
      </w:r>
    </w:p>
    <w:p w:rsidR="00FE4678" w:rsidRPr="002F61A0" w:rsidRDefault="0044348A" w:rsidP="0065448D">
      <w:pPr>
        <w:ind w:firstLine="720"/>
        <w:jc w:val="both"/>
        <w:rPr>
          <w:sz w:val="24"/>
          <w:szCs w:val="24"/>
        </w:rPr>
      </w:pPr>
      <w:r w:rsidRPr="002F61A0">
        <w:rPr>
          <w:sz w:val="24"/>
          <w:szCs w:val="24"/>
          <w:lang w:val="mn-MN"/>
        </w:rPr>
        <w:t>6.6.</w:t>
      </w:r>
      <w:r w:rsidR="00FE4678" w:rsidRPr="002F61A0">
        <w:rPr>
          <w:sz w:val="24"/>
          <w:szCs w:val="24"/>
        </w:rPr>
        <w:t>Хүндэтгэх шалтгаангүйгээр төгсөлтийн шалгалтанд ороогүй хүмүүсээс нөхөн шалгалт авах, хангалтгүй үнэлгээ авсан хүмүүсээс дахин шалгалт авах асуудлыг сургуулийн захирал шийдвэрлэнэ.</w:t>
      </w:r>
    </w:p>
    <w:p w:rsidR="00FE4678" w:rsidRPr="002F61A0" w:rsidRDefault="0044348A" w:rsidP="0065448D">
      <w:pPr>
        <w:ind w:firstLine="720"/>
        <w:jc w:val="both"/>
        <w:rPr>
          <w:sz w:val="24"/>
          <w:szCs w:val="24"/>
        </w:rPr>
      </w:pPr>
      <w:r w:rsidRPr="002F61A0">
        <w:rPr>
          <w:sz w:val="24"/>
          <w:szCs w:val="24"/>
          <w:lang w:val="mn-MN"/>
        </w:rPr>
        <w:t>6.7.</w:t>
      </w:r>
      <w:r w:rsidR="00FE4678" w:rsidRPr="002F61A0">
        <w:rPr>
          <w:sz w:val="24"/>
          <w:szCs w:val="24"/>
        </w:rPr>
        <w:t>Шалгалтын дүнг шалгалт авсан өдөр нь мэдээлнэ.</w:t>
      </w:r>
    </w:p>
    <w:p w:rsidR="00FE4678" w:rsidRPr="002F61A0" w:rsidRDefault="0044348A" w:rsidP="0065448D">
      <w:pPr>
        <w:ind w:firstLine="720"/>
        <w:jc w:val="both"/>
        <w:rPr>
          <w:sz w:val="24"/>
          <w:szCs w:val="24"/>
        </w:rPr>
      </w:pPr>
      <w:r w:rsidRPr="002F61A0">
        <w:rPr>
          <w:sz w:val="24"/>
          <w:szCs w:val="24"/>
          <w:lang w:val="mn-MN"/>
        </w:rPr>
        <w:t>6.8.</w:t>
      </w:r>
      <w:r w:rsidR="00FE4678" w:rsidRPr="002F61A0">
        <w:rPr>
          <w:sz w:val="24"/>
          <w:szCs w:val="24"/>
        </w:rPr>
        <w:t>Төгсөлтийн шалгалтын комиссын үнэлгээг үндэслэн төгсөлтийн шалгалтыг амжилттай өгсөн төгсөгчдөд тухайн сургуулийн захирлын тушаалаар мэргэжлийн зэрэг, үнэмлэх олгоно.</w:t>
      </w:r>
    </w:p>
    <w:p w:rsidR="00FE4678" w:rsidRPr="002F61A0" w:rsidRDefault="0044348A" w:rsidP="0065448D">
      <w:pPr>
        <w:ind w:firstLine="720"/>
        <w:jc w:val="both"/>
        <w:rPr>
          <w:sz w:val="24"/>
          <w:szCs w:val="24"/>
        </w:rPr>
      </w:pPr>
      <w:r w:rsidRPr="002F61A0">
        <w:rPr>
          <w:sz w:val="24"/>
          <w:szCs w:val="24"/>
          <w:lang w:val="mn-MN"/>
        </w:rPr>
        <w:t>6.9.</w:t>
      </w:r>
      <w:r w:rsidR="00FE4678" w:rsidRPr="002F61A0">
        <w:rPr>
          <w:sz w:val="24"/>
          <w:szCs w:val="24"/>
        </w:rPr>
        <w:t>Төгсөлтийн шалгалт авсан тухай салбар комиссын хуралдааны тэмдэглэлийг шалгалтын материалын хамт ерөнхий комисст хүлээлгэн өгөх бөгөөд уг материалыг тухайн сургуулийн архивт хадгална.</w:t>
      </w:r>
    </w:p>
    <w:p w:rsidR="00FE4678" w:rsidRPr="002F61A0" w:rsidRDefault="0044348A" w:rsidP="0065448D">
      <w:pPr>
        <w:ind w:firstLine="720"/>
        <w:jc w:val="both"/>
        <w:rPr>
          <w:sz w:val="24"/>
          <w:szCs w:val="24"/>
        </w:rPr>
      </w:pPr>
      <w:r w:rsidRPr="002F61A0">
        <w:rPr>
          <w:sz w:val="24"/>
          <w:szCs w:val="24"/>
          <w:lang w:val="mn-MN"/>
        </w:rPr>
        <w:t>6.10.</w:t>
      </w:r>
      <w:r w:rsidR="00FE4678" w:rsidRPr="002F61A0">
        <w:rPr>
          <w:sz w:val="24"/>
          <w:szCs w:val="24"/>
        </w:rPr>
        <w:t>Ерөнхий комисс төгсөлтийн шалгалтыг зохион байгуулсан тухай тайлан бичиж шалгалт дууссанаас хойш 10 хоногт багтаан боловсролын асуудал эрхэлсэн төрийн захиргааны төв байгууллагад ирүүлнэ.</w:t>
      </w:r>
    </w:p>
    <w:p w:rsidR="00FE4678" w:rsidRPr="002F61A0" w:rsidRDefault="00FE4678" w:rsidP="00FE4678">
      <w:pPr>
        <w:ind w:left="720"/>
        <w:jc w:val="both"/>
        <w:rPr>
          <w:sz w:val="24"/>
          <w:szCs w:val="24"/>
        </w:rPr>
      </w:pPr>
    </w:p>
    <w:p w:rsidR="002447A8" w:rsidRPr="002F61A0" w:rsidRDefault="002447A8" w:rsidP="00FE4678">
      <w:pPr>
        <w:ind w:firstLine="720"/>
        <w:rPr>
          <w:sz w:val="24"/>
          <w:szCs w:val="24"/>
        </w:rPr>
      </w:pPr>
    </w:p>
    <w:sectPr w:rsidR="002447A8" w:rsidRPr="002F61A0" w:rsidSect="002F61A0">
      <w:pgSz w:w="11907" w:h="16839" w:code="9"/>
      <w:pgMar w:top="1152" w:right="11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E7" w:rsidRDefault="00E847E7" w:rsidP="00240A0F">
      <w:r>
        <w:separator/>
      </w:r>
    </w:p>
  </w:endnote>
  <w:endnote w:type="continuationSeparator" w:id="0">
    <w:p w:rsidR="00E847E7" w:rsidRDefault="00E847E7" w:rsidP="0024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E7" w:rsidRDefault="00E847E7" w:rsidP="00240A0F">
      <w:r>
        <w:separator/>
      </w:r>
    </w:p>
  </w:footnote>
  <w:footnote w:type="continuationSeparator" w:id="0">
    <w:p w:rsidR="00E847E7" w:rsidRDefault="00E847E7" w:rsidP="00240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23"/>
    <w:rsid w:val="0004013D"/>
    <w:rsid w:val="00050560"/>
    <w:rsid w:val="000D16E2"/>
    <w:rsid w:val="001018A5"/>
    <w:rsid w:val="00102931"/>
    <w:rsid w:val="001D2E18"/>
    <w:rsid w:val="0023618C"/>
    <w:rsid w:val="00240A0F"/>
    <w:rsid w:val="002447A8"/>
    <w:rsid w:val="00280077"/>
    <w:rsid w:val="002925CB"/>
    <w:rsid w:val="002F61A0"/>
    <w:rsid w:val="00442183"/>
    <w:rsid w:val="0044348A"/>
    <w:rsid w:val="004A28C9"/>
    <w:rsid w:val="004B6F7D"/>
    <w:rsid w:val="00514EEB"/>
    <w:rsid w:val="005B1CDC"/>
    <w:rsid w:val="00653431"/>
    <w:rsid w:val="0065448D"/>
    <w:rsid w:val="00681BCF"/>
    <w:rsid w:val="00921EB2"/>
    <w:rsid w:val="009775E0"/>
    <w:rsid w:val="009B03FF"/>
    <w:rsid w:val="00B43F30"/>
    <w:rsid w:val="00BD2823"/>
    <w:rsid w:val="00C330DD"/>
    <w:rsid w:val="00D35855"/>
    <w:rsid w:val="00E847E7"/>
    <w:rsid w:val="00EB38DE"/>
    <w:rsid w:val="00F00644"/>
    <w:rsid w:val="00F46FE6"/>
    <w:rsid w:val="00FE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83246-857B-43F4-BEFD-0EC6471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3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050560"/>
    <w:pPr>
      <w:keepNext/>
      <w:shd w:val="clear" w:color="auto" w:fill="FFFFFF"/>
      <w:tabs>
        <w:tab w:val="left" w:pos="446"/>
      </w:tabs>
      <w:ind w:left="720" w:right="-31" w:hanging="720"/>
      <w:jc w:val="both"/>
      <w:outlineLvl w:val="0"/>
    </w:pPr>
    <w:rPr>
      <w:rFonts w:ascii="Times New Roman Mon" w:hAnsi="Times New Roman Mon"/>
      <w:b/>
      <w:bCs/>
      <w:color w:val="000000"/>
      <w:spacing w:val="-1"/>
      <w:sz w:val="24"/>
      <w:szCs w:val="28"/>
    </w:rPr>
  </w:style>
  <w:style w:type="paragraph" w:styleId="Heading2">
    <w:name w:val="heading 2"/>
    <w:basedOn w:val="Normal"/>
    <w:next w:val="Normal"/>
    <w:link w:val="Heading2Char"/>
    <w:qFormat/>
    <w:rsid w:val="00050560"/>
    <w:pPr>
      <w:keepNext/>
      <w:shd w:val="clear" w:color="auto" w:fill="FFFFFF"/>
      <w:tabs>
        <w:tab w:val="left" w:pos="446"/>
      </w:tabs>
      <w:ind w:right="-31"/>
      <w:jc w:val="center"/>
      <w:outlineLvl w:val="1"/>
    </w:pPr>
    <w:rPr>
      <w:rFonts w:ascii="Times New Roman Mon" w:hAnsi="Times New Roman Mon"/>
      <w:color w:val="000000"/>
      <w:spacing w:val="-1"/>
      <w:sz w:val="24"/>
      <w:szCs w:val="28"/>
    </w:rPr>
  </w:style>
  <w:style w:type="paragraph" w:styleId="Heading3">
    <w:name w:val="heading 3"/>
    <w:basedOn w:val="Normal"/>
    <w:next w:val="Normal"/>
    <w:link w:val="Heading3Char"/>
    <w:qFormat/>
    <w:rsid w:val="00050560"/>
    <w:pPr>
      <w:keepNext/>
      <w:shd w:val="clear" w:color="auto" w:fill="FFFFFF"/>
      <w:ind w:right="-31"/>
      <w:outlineLvl w:val="2"/>
    </w:pPr>
    <w:rPr>
      <w:rFonts w:ascii="Times New Roman Mon" w:hAnsi="Times New Roman Mon" w:cs="Times New Roman"/>
      <w:b/>
      <w:bCs/>
      <w:color w:val="000000"/>
      <w:spacing w:val="-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53431"/>
    <w:pPr>
      <w:shd w:val="clear" w:color="auto" w:fill="FFFFFF"/>
      <w:ind w:right="-31"/>
      <w:jc w:val="center"/>
    </w:pPr>
    <w:rPr>
      <w:rFonts w:ascii="Times New Roman Mon" w:hAnsi="Times New Roman Mon" w:cs="Times New Roman"/>
      <w:b/>
      <w:bCs/>
      <w:caps/>
      <w:color w:val="000000"/>
      <w:spacing w:val="-2"/>
      <w:sz w:val="24"/>
      <w:szCs w:val="28"/>
    </w:rPr>
  </w:style>
  <w:style w:type="character" w:customStyle="1" w:styleId="BodyText3Char">
    <w:name w:val="Body Text 3 Char"/>
    <w:basedOn w:val="DefaultParagraphFont"/>
    <w:link w:val="BodyText3"/>
    <w:rsid w:val="00653431"/>
    <w:rPr>
      <w:rFonts w:ascii="Times New Roman Mon" w:eastAsia="Times New Roman" w:hAnsi="Times New Roman Mon" w:cs="Times New Roman"/>
      <w:b/>
      <w:bCs/>
      <w:caps/>
      <w:color w:val="000000"/>
      <w:spacing w:val="-2"/>
      <w:sz w:val="24"/>
      <w:szCs w:val="28"/>
      <w:shd w:val="clear" w:color="auto" w:fill="FFFFFF"/>
    </w:rPr>
  </w:style>
  <w:style w:type="character" w:customStyle="1" w:styleId="Heading1Char">
    <w:name w:val="Heading 1 Char"/>
    <w:basedOn w:val="DefaultParagraphFont"/>
    <w:link w:val="Heading1"/>
    <w:rsid w:val="00050560"/>
    <w:rPr>
      <w:rFonts w:ascii="Times New Roman Mon" w:eastAsia="Times New Roman" w:hAnsi="Times New Roman Mon" w:cs="Arial"/>
      <w:b/>
      <w:bCs/>
      <w:color w:val="000000"/>
      <w:spacing w:val="-1"/>
      <w:sz w:val="24"/>
      <w:szCs w:val="28"/>
      <w:shd w:val="clear" w:color="auto" w:fill="FFFFFF"/>
    </w:rPr>
  </w:style>
  <w:style w:type="character" w:customStyle="1" w:styleId="Heading2Char">
    <w:name w:val="Heading 2 Char"/>
    <w:basedOn w:val="DefaultParagraphFont"/>
    <w:link w:val="Heading2"/>
    <w:rsid w:val="00050560"/>
    <w:rPr>
      <w:rFonts w:ascii="Times New Roman Mon" w:eastAsia="Times New Roman" w:hAnsi="Times New Roman Mon" w:cs="Arial"/>
      <w:color w:val="000000"/>
      <w:spacing w:val="-1"/>
      <w:sz w:val="24"/>
      <w:szCs w:val="28"/>
      <w:shd w:val="clear" w:color="auto" w:fill="FFFFFF"/>
    </w:rPr>
  </w:style>
  <w:style w:type="character" w:customStyle="1" w:styleId="Heading3Char">
    <w:name w:val="Heading 3 Char"/>
    <w:basedOn w:val="DefaultParagraphFont"/>
    <w:link w:val="Heading3"/>
    <w:rsid w:val="00050560"/>
    <w:rPr>
      <w:rFonts w:ascii="Times New Roman Mon" w:eastAsia="Times New Roman" w:hAnsi="Times New Roman Mon" w:cs="Times New Roman"/>
      <w:b/>
      <w:bCs/>
      <w:color w:val="000000"/>
      <w:spacing w:val="-2"/>
      <w:sz w:val="24"/>
      <w:szCs w:val="28"/>
      <w:shd w:val="clear" w:color="auto" w:fill="FFFFFF"/>
    </w:rPr>
  </w:style>
  <w:style w:type="paragraph" w:styleId="BodyText">
    <w:name w:val="Body Text"/>
    <w:basedOn w:val="Normal"/>
    <w:link w:val="BodyTextChar"/>
    <w:rsid w:val="00050560"/>
    <w:pPr>
      <w:widowControl/>
      <w:autoSpaceDE/>
      <w:autoSpaceDN/>
      <w:adjustRightInd/>
      <w:ind w:right="-1080"/>
      <w:jc w:val="both"/>
    </w:pPr>
    <w:rPr>
      <w:rFonts w:ascii="Times New Roman Mon" w:hAnsi="Times New Roman Mon" w:cs="Times New Roman"/>
      <w:sz w:val="24"/>
      <w:szCs w:val="24"/>
    </w:rPr>
  </w:style>
  <w:style w:type="character" w:customStyle="1" w:styleId="BodyTextChar">
    <w:name w:val="Body Text Char"/>
    <w:basedOn w:val="DefaultParagraphFont"/>
    <w:link w:val="BodyText"/>
    <w:rsid w:val="00050560"/>
    <w:rPr>
      <w:rFonts w:ascii="Times New Roman Mon" w:eastAsia="Times New Roman" w:hAnsi="Times New Roman Mon" w:cs="Times New Roman"/>
      <w:sz w:val="24"/>
      <w:szCs w:val="24"/>
    </w:rPr>
  </w:style>
  <w:style w:type="paragraph" w:styleId="BodyText2">
    <w:name w:val="Body Text 2"/>
    <w:basedOn w:val="Normal"/>
    <w:link w:val="BodyText2Char"/>
    <w:rsid w:val="00050560"/>
    <w:pPr>
      <w:jc w:val="both"/>
    </w:pPr>
    <w:rPr>
      <w:rFonts w:ascii="Times New Roman Mon" w:hAnsi="Times New Roman Mon"/>
      <w:sz w:val="24"/>
      <w:lang w:val="mn-MN"/>
    </w:rPr>
  </w:style>
  <w:style w:type="character" w:customStyle="1" w:styleId="BodyText2Char">
    <w:name w:val="Body Text 2 Char"/>
    <w:basedOn w:val="DefaultParagraphFont"/>
    <w:link w:val="BodyText2"/>
    <w:rsid w:val="00050560"/>
    <w:rPr>
      <w:rFonts w:ascii="Times New Roman Mon" w:eastAsia="Times New Roman" w:hAnsi="Times New Roman Mon" w:cs="Arial"/>
      <w:sz w:val="24"/>
      <w:szCs w:val="20"/>
      <w:lang w:val="mn-MN"/>
    </w:rPr>
  </w:style>
  <w:style w:type="paragraph" w:styleId="Footer">
    <w:name w:val="footer"/>
    <w:basedOn w:val="Normal"/>
    <w:link w:val="FooterChar"/>
    <w:rsid w:val="00050560"/>
    <w:pPr>
      <w:tabs>
        <w:tab w:val="center" w:pos="4320"/>
        <w:tab w:val="right" w:pos="8640"/>
      </w:tabs>
    </w:pPr>
  </w:style>
  <w:style w:type="character" w:customStyle="1" w:styleId="FooterChar">
    <w:name w:val="Footer Char"/>
    <w:basedOn w:val="DefaultParagraphFont"/>
    <w:link w:val="Footer"/>
    <w:rsid w:val="00050560"/>
    <w:rPr>
      <w:rFonts w:ascii="Arial" w:eastAsia="Times New Roman" w:hAnsi="Arial" w:cs="Arial"/>
      <w:sz w:val="20"/>
      <w:szCs w:val="20"/>
    </w:rPr>
  </w:style>
  <w:style w:type="character" w:styleId="PageNumber">
    <w:name w:val="page number"/>
    <w:basedOn w:val="DefaultParagraphFont"/>
    <w:rsid w:val="00050560"/>
  </w:style>
  <w:style w:type="paragraph" w:styleId="Header">
    <w:name w:val="header"/>
    <w:basedOn w:val="Normal"/>
    <w:link w:val="HeaderChar"/>
    <w:uiPriority w:val="99"/>
    <w:rsid w:val="00050560"/>
    <w:pPr>
      <w:tabs>
        <w:tab w:val="center" w:pos="4320"/>
        <w:tab w:val="right" w:pos="8640"/>
      </w:tabs>
    </w:pPr>
  </w:style>
  <w:style w:type="character" w:customStyle="1" w:styleId="HeaderChar">
    <w:name w:val="Header Char"/>
    <w:basedOn w:val="DefaultParagraphFont"/>
    <w:link w:val="Header"/>
    <w:uiPriority w:val="99"/>
    <w:rsid w:val="00050560"/>
    <w:rPr>
      <w:rFonts w:ascii="Arial" w:eastAsia="Times New Roman" w:hAnsi="Arial" w:cs="Arial"/>
      <w:sz w:val="20"/>
      <w:szCs w:val="20"/>
    </w:rPr>
  </w:style>
  <w:style w:type="table" w:styleId="TableGrid">
    <w:name w:val="Table Grid"/>
    <w:basedOn w:val="TableNormal"/>
    <w:rsid w:val="000505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0560"/>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rsid w:val="00050560"/>
    <w:rPr>
      <w:rFonts w:ascii="Tahoma" w:hAnsi="Tahoma" w:cs="Tahoma"/>
      <w:sz w:val="16"/>
      <w:szCs w:val="16"/>
    </w:rPr>
  </w:style>
  <w:style w:type="character" w:customStyle="1" w:styleId="BalloonTextChar">
    <w:name w:val="Balloon Text Char"/>
    <w:basedOn w:val="DefaultParagraphFont"/>
    <w:link w:val="BalloonText"/>
    <w:rsid w:val="00050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9435">
      <w:bodyDiv w:val="1"/>
      <w:marLeft w:val="0"/>
      <w:marRight w:val="0"/>
      <w:marTop w:val="0"/>
      <w:marBottom w:val="0"/>
      <w:divBdr>
        <w:top w:val="none" w:sz="0" w:space="0" w:color="auto"/>
        <w:left w:val="none" w:sz="0" w:space="0" w:color="auto"/>
        <w:bottom w:val="none" w:sz="0" w:space="0" w:color="auto"/>
        <w:right w:val="none" w:sz="0" w:space="0" w:color="auto"/>
      </w:divBdr>
    </w:div>
    <w:div w:id="1757358957">
      <w:bodyDiv w:val="1"/>
      <w:marLeft w:val="0"/>
      <w:marRight w:val="0"/>
      <w:marTop w:val="0"/>
      <w:marBottom w:val="0"/>
      <w:divBdr>
        <w:top w:val="none" w:sz="0" w:space="0" w:color="auto"/>
        <w:left w:val="none" w:sz="0" w:space="0" w:color="auto"/>
        <w:bottom w:val="none" w:sz="0" w:space="0" w:color="auto"/>
        <w:right w:val="none" w:sz="0" w:space="0" w:color="auto"/>
      </w:divBdr>
    </w:div>
    <w:div w:id="19413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battulga</cp:lastModifiedBy>
  <cp:revision>40</cp:revision>
  <cp:lastPrinted>2018-04-04T01:39:00Z</cp:lastPrinted>
  <dcterms:created xsi:type="dcterms:W3CDTF">2014-04-15T22:44:00Z</dcterms:created>
  <dcterms:modified xsi:type="dcterms:W3CDTF">2018-04-04T01:39:00Z</dcterms:modified>
</cp:coreProperties>
</file>